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C5600D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 xml:space="preserve">دعای </w:t>
      </w:r>
      <w:r w:rsidR="00C5600D">
        <w:rPr>
          <w:rFonts w:hint="cs"/>
          <w:b w:val="0"/>
          <w:bCs w:val="0"/>
          <w:sz w:val="40"/>
          <w:rtl/>
        </w:rPr>
        <w:t>مکنون و فضیلت آن</w:t>
      </w:r>
    </w:p>
    <w:p w:rsidR="00C5600D" w:rsidRPr="00C5600D" w:rsidRDefault="00C5600D" w:rsidP="00C5600D">
      <w:pPr>
        <w:spacing w:before="100" w:beforeAutospacing="1" w:after="240" w:line="240" w:lineRule="auto"/>
        <w:jc w:val="both"/>
        <w:rPr>
          <w:rStyle w:val="farsi"/>
          <w:rFonts w:cs="B Zar"/>
          <w:sz w:val="32"/>
          <w:szCs w:val="32"/>
        </w:rPr>
      </w:pPr>
      <w:r w:rsidRPr="00C5600D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شود؛ هفدهم: ابن بابويه، و شيخ طوسى و غير ايشان، به سندهاى معتبر از حضرت امير مؤمنان عليه السّلام روايت كرده ‏اند: هركه مايل است از دنيا بيرون رود درحالى‏ كه از گناهان پاك‏ شده باشد همچون طلايى كه از ناخالصى پاك مى ‏شود، و در قيامت هيچ كس از او بازخواست دادخواهى نكند، پس از نمازهاى‏ پنج‏گانه «نسبت» پروردگار را بخواند، و آن خواندن دوازده مرتبه قل هو اللّه احد است، آنگاه دستها را به جانب آسمان‏ بگشايد، و اين دعا را بخواند، سپس فرمود: اين از رازهاى مكنون است، كه رسول خدا صلى اللّه عليه و آله به من تعليم داد، و فرمود به حسن و حسين عليهما السّلام بياموزم، و دعا اين است</w:t>
      </w:r>
      <w:r w:rsidRPr="00C5600D">
        <w:rPr>
          <w:rStyle w:val="farsi"/>
          <w:rFonts w:cs="B Zar"/>
          <w:sz w:val="32"/>
          <w:szCs w:val="32"/>
        </w:rPr>
        <w:t>: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Fonts w:ascii="Times New Roman" w:eastAsia="Times New Roman" w:hAnsi="Times New Roman" w:cs="Times New Roman"/>
          <w:sz w:val="24"/>
          <w:szCs w:val="24"/>
        </w:rPr>
        <w:br/>
      </w: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بِاسْمِكَ الْمَكْنُونِ الْمَخْزُونِ الطّاهِرِ الطُّهْرِ الْمُبارَكِ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وَاَسْئَلُكَ بِاسْمِكَ الْعَظيمِ وَسُلْطانِكَ الْقَديمِ يا واهِبَ الْعَطايا يا مُطْلِقَ الاُْسارى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فَكّاكَ الرِّقابِ مِنَ النّارِ صَلِّ عَلى مُحَمَّدٍ وَآلِ مُحَمَّدٍ وَفُكَّ رَقَبَتى مِنَ النّارِ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وَاَخْرِجْنى مِنَ الدُّنْيا آمِنا وَاَدْخِلْنِى الْجَنَّةَ سالِما وَاجْعَلْ دُعآئى اَوَّلَهُ فَلاحاً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وَاَوْسَطَهُ نَجاحا وَآخِرَهُ صَلاحا اِنَّكَ اَنْتَ عَلاّمُ الْغُيُوبِ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5600D">
        <w:rPr>
          <w:rFonts w:ascii="Times New Roman" w:eastAsia="Times New Roman" w:hAnsi="Times New Roman" w:cs="Times New Roman"/>
          <w:sz w:val="24"/>
          <w:szCs w:val="24"/>
        </w:rPr>
        <w:br/>
      </w:r>
      <w:r w:rsidRPr="00C5600D">
        <w:rPr>
          <w:rStyle w:val="farsi"/>
          <w:rFonts w:cs="B Zar"/>
          <w:sz w:val="32"/>
          <w:szCs w:val="32"/>
          <w:rtl/>
        </w:rPr>
        <w:t>و در بعضى از نسخه‏ هاى معتبر اين دعا به اين صورت است</w:t>
      </w:r>
      <w:r w:rsidRPr="00C5600D">
        <w:rPr>
          <w:rStyle w:val="farsi"/>
          <w:rFonts w:cs="B Zar"/>
          <w:sz w:val="32"/>
          <w:szCs w:val="32"/>
        </w:rPr>
        <w:t>: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Fonts w:ascii="Times New Roman" w:eastAsia="Times New Roman" w:hAnsi="Times New Roman" w:cs="Times New Roman"/>
          <w:sz w:val="24"/>
          <w:szCs w:val="24"/>
        </w:rPr>
        <w:br/>
      </w: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فَكّاكَ الرِّقابِ مِنَ النّارِ اَسْئَلُكَ اَنْ تُصَلِّىَ عَلَى مُحَمَّدٍ وَآلِ مُحَمَّدٍ</w:t>
      </w: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وَاَنْ تُعْتِقَ رَقَبَتى مِنَ النّارِ وَاَنْ تُخْرَجَنى مِنَ الدُّنْيا سالِما وَتُدْخِلَنِى الْجَنَّةَ آمِنا</w:t>
      </w:r>
    </w:p>
    <w:p w:rsidR="00C5600D" w:rsidRPr="00C5600D" w:rsidRDefault="00C5600D" w:rsidP="00325CC6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C5600D" w:rsidRPr="00C5600D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5600D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وَاَنْ تَجْعَلَ دُعآئى اَوَّلَهُ فَلاحا وَاَوْسَطَهُ نَجاحا وَآخِرَهُ صَلاحا اِنَّكَ اَنْتَ عَلاّمُ الْغُيُوبِ</w:t>
      </w:r>
    </w:p>
    <w:p w:rsidR="00C5600D" w:rsidRPr="00804B04" w:rsidRDefault="00C5600D" w:rsidP="00C5600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sectPr w:rsidR="00C5600D" w:rsidRPr="00804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571" w:rsidRDefault="001B3571" w:rsidP="00D022FA">
      <w:pPr>
        <w:spacing w:after="0" w:line="240" w:lineRule="auto"/>
      </w:pPr>
      <w:r>
        <w:separator/>
      </w:r>
    </w:p>
  </w:endnote>
  <w:endnote w:type="continuationSeparator" w:id="0">
    <w:p w:rsidR="001B3571" w:rsidRDefault="001B357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4117FC-6DE6-4E15-9000-F1BC369E0F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453A62-EBAF-4765-A46E-4689EC6E0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549E5B9-1882-4F2A-A94B-E7361BFFA25D}"/>
    <w:embedBold r:id="rId4" w:fontKey="{195EE4EE-C857-4E37-8E36-AF179A8F5D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A54F1B5-091B-4AA1-AE12-84111D1AFDDB}"/>
    <w:embedBold r:id="rId6" w:fontKey="{00E2FE3A-2434-4922-BE4E-C3C5881E79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2810B50-E244-4BA6-BCDC-879B158CC85E}"/>
    <w:embedBold r:id="rId8" w:fontKey="{63E2DBC3-9157-4B4F-8514-FC9C16033E0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E9BB01F-2E38-4EDA-838F-65C4B1172CF6}"/>
    <w:embedBold r:id="rId10" w:fontKey="{C519FDA5-122C-4336-83F5-AB69D9941ED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61F1E7C-FFB4-41A5-AB2B-7CD9BE37ACD5}"/>
    <w:embedBold r:id="rId12" w:fontKey="{73A09034-B00E-44C8-9151-C5D19801801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896B846-BED4-4089-A550-08A72CEF6E0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8C32B86-123B-4534-8D76-E4A0DC8B98F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D9C241D-971F-4932-9E85-572DA54F802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7B54008-84DE-4455-8E4C-33915749C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25CC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571" w:rsidRDefault="001B3571" w:rsidP="00D022FA">
      <w:pPr>
        <w:spacing w:after="0" w:line="240" w:lineRule="auto"/>
      </w:pPr>
      <w:r>
        <w:separator/>
      </w:r>
    </w:p>
  </w:footnote>
  <w:footnote w:type="continuationSeparator" w:id="0">
    <w:p w:rsidR="001B3571" w:rsidRDefault="001B357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5600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DA2760F" wp14:editId="7C97EF4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</w:t>
    </w:r>
    <w:r w:rsidR="002656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C5600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مکنون و فضیلت آن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3571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656F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25CC6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0C54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4B04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576B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600D"/>
    <w:rsid w:val="00C624A1"/>
    <w:rsid w:val="00C64ECC"/>
    <w:rsid w:val="00C67143"/>
    <w:rsid w:val="00C73FF6"/>
    <w:rsid w:val="00CA603D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CD9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2015-01-25T10:11:00Z</cp:lastPrinted>
  <dcterms:created xsi:type="dcterms:W3CDTF">2015-01-25T10:12:00Z</dcterms:created>
  <dcterms:modified xsi:type="dcterms:W3CDTF">2015-01-25T10:12:00Z</dcterms:modified>
</cp:coreProperties>
</file>